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206"/>
      </w:tblGrid>
      <w:tr w:rsidR="007D580C" w:rsidRPr="00E57E33" w14:paraId="7A777C4A" w14:textId="7777777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7D580C" w:rsidRPr="00E57E33" w14:paraId="351214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DF5022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caps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caps/>
                      <w:sz w:val="22"/>
                      <w:szCs w:val="22"/>
                    </w:rPr>
                    <w:t xml:space="preserve">Acordo Coletivo De Trabalho 2023/2024 </w:t>
                  </w:r>
                </w:p>
              </w:tc>
            </w:tr>
            <w:tr w:rsidR="007D580C" w:rsidRPr="00E57E33" w14:paraId="216B17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5"/>
                    <w:gridCol w:w="150"/>
                    <w:gridCol w:w="2276"/>
                  </w:tblGrid>
                  <w:tr w:rsidR="007D580C" w:rsidRPr="00E57E33" w14:paraId="565E59B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9704C5" w14:textId="77777777" w:rsidR="007D580C" w:rsidRPr="00E57E33" w:rsidRDefault="009E4306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E57E33">
                          <w:rPr>
                            <w:rFonts w:ascii="Arial" w:eastAsia="Times New Roman" w:hAnsi="Arial" w:cs="Arial"/>
                            <w:b/>
                            <w:bCs/>
                            <w:sz w:val="22"/>
                            <w:szCs w:val="22"/>
                          </w:rPr>
                          <w:t>NÚMERO DE REGISTRO NO MTE:</w:t>
                        </w:r>
                        <w:r w:rsidRPr="00E57E33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99EC431" w14:textId="77777777" w:rsidR="007D580C" w:rsidRPr="00E57E33" w:rsidRDefault="007D580C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D988B6" w14:textId="77777777" w:rsidR="007D580C" w:rsidRPr="00E57E33" w:rsidRDefault="009E4306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E57E33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 xml:space="preserve">SP005630/2022 </w:t>
                        </w:r>
                      </w:p>
                    </w:tc>
                  </w:tr>
                  <w:tr w:rsidR="007D580C" w:rsidRPr="00E57E33" w14:paraId="23ADCE0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A50377" w14:textId="77777777" w:rsidR="007D580C" w:rsidRPr="00E57E33" w:rsidRDefault="009E4306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E57E33">
                          <w:rPr>
                            <w:rFonts w:ascii="Arial" w:eastAsia="Times New Roman" w:hAnsi="Arial" w:cs="Arial"/>
                            <w:b/>
                            <w:bCs/>
                            <w:sz w:val="22"/>
                            <w:szCs w:val="22"/>
                          </w:rPr>
                          <w:t>DATA DE REGISTRO NO MTE:</w:t>
                        </w:r>
                        <w:r w:rsidRPr="00E57E33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182F6B2" w14:textId="77777777" w:rsidR="007D580C" w:rsidRPr="00E57E33" w:rsidRDefault="007D580C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3EFE46" w14:textId="77777777" w:rsidR="007D580C" w:rsidRPr="00E57E33" w:rsidRDefault="009E4306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E57E33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 xml:space="preserve">01/07/2022 </w:t>
                        </w:r>
                      </w:p>
                    </w:tc>
                  </w:tr>
                  <w:tr w:rsidR="007D580C" w:rsidRPr="00E57E33" w14:paraId="4014C4A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C67DB2" w14:textId="77777777" w:rsidR="007D580C" w:rsidRPr="00E57E33" w:rsidRDefault="009E4306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E57E33">
                          <w:rPr>
                            <w:rFonts w:ascii="Arial" w:eastAsia="Times New Roman" w:hAnsi="Arial" w:cs="Arial"/>
                            <w:b/>
                            <w:bCs/>
                            <w:sz w:val="22"/>
                            <w:szCs w:val="22"/>
                          </w:rPr>
                          <w:t>NÚMERO DA SOLICITAÇÃO:</w:t>
                        </w:r>
                        <w:r w:rsidRPr="00E57E33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22D0FF9D" w14:textId="77777777" w:rsidR="007D580C" w:rsidRPr="00E57E33" w:rsidRDefault="007D580C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EAFDBB" w14:textId="77777777" w:rsidR="007D580C" w:rsidRPr="00E57E33" w:rsidRDefault="009E4306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E57E33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 xml:space="preserve">MR023667/2022 </w:t>
                        </w:r>
                      </w:p>
                    </w:tc>
                  </w:tr>
                  <w:tr w:rsidR="007D580C" w:rsidRPr="00E57E33" w14:paraId="6D4B5CD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C90CB6" w14:textId="77777777" w:rsidR="007D580C" w:rsidRPr="00E57E33" w:rsidRDefault="009E4306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E57E33">
                          <w:rPr>
                            <w:rFonts w:ascii="Arial" w:eastAsia="Times New Roman" w:hAnsi="Arial" w:cs="Arial"/>
                            <w:b/>
                            <w:bCs/>
                            <w:sz w:val="22"/>
                            <w:szCs w:val="22"/>
                          </w:rPr>
                          <w:t>NÚMERO DO PROCESSO:</w:t>
                        </w:r>
                        <w:r w:rsidRPr="00E57E33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6F99E58" w14:textId="77777777" w:rsidR="007D580C" w:rsidRPr="00E57E33" w:rsidRDefault="007D580C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3C9C77" w14:textId="77777777" w:rsidR="007D580C" w:rsidRPr="00E57E33" w:rsidRDefault="009E4306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E57E33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 xml:space="preserve">10260.113221/2022-53 </w:t>
                        </w:r>
                      </w:p>
                    </w:tc>
                  </w:tr>
                  <w:tr w:rsidR="007D580C" w:rsidRPr="00E57E33" w14:paraId="4361CAF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36901B" w14:textId="77777777" w:rsidR="007D580C" w:rsidRPr="00E57E33" w:rsidRDefault="009E4306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E57E33">
                          <w:rPr>
                            <w:rFonts w:ascii="Arial" w:eastAsia="Times New Roman" w:hAnsi="Arial" w:cs="Arial"/>
                            <w:b/>
                            <w:bCs/>
                            <w:sz w:val="22"/>
                            <w:szCs w:val="22"/>
                          </w:rPr>
                          <w:t>DATA DO PROTOCOLO:</w:t>
                        </w:r>
                        <w:r w:rsidRPr="00E57E33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B434588" w14:textId="77777777" w:rsidR="007D580C" w:rsidRPr="00E57E33" w:rsidRDefault="007D580C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CF57A3" w14:textId="77777777" w:rsidR="007D580C" w:rsidRPr="00E57E33" w:rsidRDefault="009E4306" w:rsidP="00E57E33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E57E33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 xml:space="preserve">28/06/2022 </w:t>
                        </w:r>
                      </w:p>
                    </w:tc>
                  </w:tr>
                </w:tbl>
                <w:p w14:paraId="19B4AC98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434DF98B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Confira a autenticidade no endereço http://www3.mte.gov.br/sistemas/mediador/. </w:t>
                  </w:r>
                </w:p>
              </w:tc>
            </w:tr>
            <w:tr w:rsidR="007D580C" w:rsidRPr="00E57E33" w14:paraId="0B5015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46E607B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SIND.DE TRABALHADORES EM ATIV.PESQ.DES.CIE.TEC.CAMP REG, CNPJ n. 59.038.844/0001-74, neste ato representado(a) por seu ;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  <w:t> 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  <w:t xml:space="preserve">E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  <w:t>NOBRE TRADICAO EM INOVACAO DE SISTEMAS EIRELI, C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NPJ n. 24.965.425/0001-01, neste ato representado(a) por seu ;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  <w:t> 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  <w:t xml:space="preserve">celebram o presente ACORDO COLETIVO DE TRABALHO, estipulando as condições de trabalho previstas nas cláusulas seguintes: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CLÁUSULA PRIMEIRA - VIGÊNCIA E DATA-BASE </w:t>
                  </w:r>
                  <w:r w:rsidRPr="00E57E3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  <w:t>As partes fixam a vigênci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do presente Acordo Coletivo de Trabalho no período de 01º de agosto de 2023 a 31 de julho de 2024 e a data-base da categoria em 01º de agosto.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CLÁUSULA SEGUNDA - ABRANGÊNCIA </w:t>
                  </w:r>
                  <w:r w:rsidRPr="00E57E3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br/>
                    <w:t>O presente Acordo Coletivo de Trabalho, aplicável no âmbito da(s) empresa(s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) acordante(s), abrangerá a(s) categoria(s) </w:t>
                  </w:r>
                  <w:r w:rsidRPr="00E57E3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dos Trabalhadores em Atividades (Diretas e Indiretas) de Pesquisa e Desenvolvimento em Ciência e Tecnologia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, com abrangência territorial em </w:t>
                  </w:r>
                  <w:r w:rsidRPr="00E57E3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Americana/SP, Amparo/SP, Araras/SP, Artur Nogueira/SP, Atibaia/SP, Braga</w:t>
                  </w:r>
                  <w:r w:rsidRPr="00E57E3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nça Paulista/SP, Campinas/SP, Casa Branca/SP, Cosmópolis/SP, Espírito Santo do Pinhal/SP, Indaiatuba/SP, Iperó/SP, Itapira/SP, Itatiba/SP, Jaguariúna/SP, Jundiaí/SP, Leme/SP, Limeira/SP, Mococa/SP, Mogi Guaçu/SP, Mogi Mirim/SP, Monte Mor/SP, Nova Odessa/SP</w:t>
                  </w:r>
                  <w:r w:rsidRPr="00E57E3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, Paulínia/SP, Pedreira/SP, Piracicaba/SP, Pirassununga/SP, Rio Claro/SP, Santa Bárbara d'Oeste/SP, Santo Antônio de Posse/SP, São João da Boa Vista/SP, São José do Rio Pardo/SP, São Paulo/SP, São Roque/SP, Sorocaba/SP, Sumaré/SP, Valinhos/SP e Vinhedo/SP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397804C8" w14:textId="2F2B3168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Salários, Reajustes e Pagamento </w:t>
                  </w:r>
                </w:p>
                <w:p w14:paraId="4C5C4C0A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Piso Salarial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5E6F457F" w14:textId="4A7DC293" w:rsidR="007D580C" w:rsidRPr="00E57E33" w:rsidRDefault="009E4306" w:rsidP="00E57E3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TERCEIRA - PISO SALARIAL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Fica assegurado o salário normativo para os empregados abrangidos por esse acordo coletivo, a partir de 1º de agosto de 2023, um piso salarial no valor de dois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salários mínimos vigente.</w:t>
                  </w:r>
                </w:p>
                <w:p w14:paraId="6DCA0315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79E536AF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Reajustes/Correções Salariais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696FD3BA" w14:textId="27C75469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QUARTA - RECOMPOSIÇÃO SALARIAL </w:t>
                  </w:r>
                </w:p>
                <w:p w14:paraId="021A8607" w14:textId="77777777" w:rsidR="007D580C" w:rsidRPr="00E57E33" w:rsidRDefault="009E4306" w:rsidP="00E57E33">
                  <w:pPr>
                    <w:pStyle w:val="western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NOBRE concederá aos seus empregados, a partir de 1º de agosto de 2023, recomposição inflacionária medida pelo IPCA de 4%, medido entre 1 de agosto de 2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022 a 31 de julho de 2023.</w:t>
                  </w:r>
                </w:p>
                <w:p w14:paraId="56338271" w14:textId="07340573" w:rsidR="007D580C" w:rsidRPr="00E57E33" w:rsidRDefault="009E4306" w:rsidP="00E57E33">
                  <w:pPr>
                    <w:pStyle w:val="western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Parágrafo 1º - Após a recomposição inflacionária a NOBRE propiciará aumento real de 3% a todos os seus empregados a título de produtividade.</w:t>
                  </w:r>
                </w:p>
                <w:p w14:paraId="11200EF5" w14:textId="71C1C20C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Gratificações, Adicionais, Auxílios e Outros </w:t>
                  </w:r>
                </w:p>
                <w:p w14:paraId="15EA81AE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lastRenderedPageBreak/>
                    <w:t xml:space="preserve">Adicional de Hora-Extra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52F9DAB3" w14:textId="3DFD6A6F" w:rsidR="007D580C" w:rsidRPr="00E57E33" w:rsidRDefault="009E4306" w:rsidP="00E57E3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QUINTA - HORAS EXTRAS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As horas extraordinárias, serão remuneradas com os adicionais seguintes, aplicáveis sobre o salário hora normal: </w:t>
                  </w:r>
                </w:p>
                <w:p w14:paraId="5647D93F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60% (sessenta por cent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o) para as duas primeiras horas no dia;</w:t>
                  </w:r>
                </w:p>
                <w:p w14:paraId="1D662606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80% (oitenta por cento) para as 2 (duas) horas diárias excedentes;</w:t>
                  </w:r>
                </w:p>
                <w:p w14:paraId="72CD696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100% (cem por cento) para as prestadas aos domingos, feriados e dias já compensados.</w:t>
                  </w:r>
                </w:p>
                <w:p w14:paraId="4D5086BA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Único: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 atuação do empregado em regime de horas extra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 apenas será admitida mediante a autorização escrita do gestor.</w:t>
                  </w:r>
                </w:p>
                <w:p w14:paraId="254D7B58" w14:textId="301D6F67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SEXTA - REFLEXOS DAS HORAS EXTRAS E ADICIONAL NOTURNO </w:t>
                  </w:r>
                </w:p>
                <w:p w14:paraId="2881966B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média das horas extras habituais e do adicional noturno refletirá no pagamento das férias, gratificação natalina e descan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so semanal remunerado.</w:t>
                  </w:r>
                </w:p>
                <w:p w14:paraId="0E744A3C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1E509E97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Adicional de Tempo de Serviço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116E9B6F" w14:textId="77777777" w:rsidR="00E57E33" w:rsidRDefault="009E4306" w:rsidP="00E57E33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SÉTIMA - ADICIONAL DE PERMANÊNCIA </w:t>
                  </w:r>
                </w:p>
                <w:p w14:paraId="6A955253" w14:textId="679670B4" w:rsidR="007D580C" w:rsidRPr="00E57E33" w:rsidRDefault="009E4306" w:rsidP="00E57E3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Por triênio na NOBRE, os empregados receberão por mês a importância de </w:t>
                  </w:r>
                  <w:r w:rsidRPr="00E57E33">
                    <w:rPr>
                      <w:rFonts w:ascii="Arial" w:hAnsi="Arial" w:cs="Arial"/>
                      <w:b/>
                      <w:sz w:val="22"/>
                      <w:szCs w:val="22"/>
                    </w:rPr>
                    <w:t>R$ 75,92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(setenta e cinco reais e noventa e dois centavos).</w:t>
                  </w:r>
                </w:p>
                <w:p w14:paraId="7D841A95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O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adicional será devido a partir do mês em que for completado o triênio, desde que isso ocorra até o dia 15 (quinze); se ocorrer após o dia 15 (quinze) será devido a partir do mês seguinte;</w:t>
                  </w:r>
                </w:p>
                <w:p w14:paraId="4FFCBD9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Segundo: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O valor do adicional será igual para todos indepe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ndentemente do salário percebido e da data em que for completado o triênio, devendo ser destacado no recibo de pagamento do empregado.</w:t>
                  </w:r>
                </w:p>
                <w:p w14:paraId="2FCAAF52" w14:textId="401B6E0B" w:rsidR="007D580C" w:rsidRPr="00E57E33" w:rsidRDefault="009E4306" w:rsidP="00E57E3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CLÁUSULA OITAVA - INDENIZAÇÃO PECULIAR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Ao empregado com mais de 45 (quarenta e cinco) anos de idade e que conte com mais de 05 (cinco) anos de tempo de serviço na NOBRE, se dispensado sem justa causa, será paga uma indenização correspondente a 100% (cem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por cento) de seu salário, a ser satisfeita juntamente com as demais verbas rescisórias.</w:t>
                  </w:r>
                </w:p>
                <w:p w14:paraId="0DB49F67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6553F840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Outros Adicionais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6167942D" w14:textId="3C91D55B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NONA - GRATIFICAÇÃO POR APOSENTADORIA </w:t>
                  </w:r>
                </w:p>
                <w:p w14:paraId="5DAC75E3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O empregado que conte com no mínimo 8 (oito) anos de tempo de serviço na NOBRE receberá, por o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casião de sua aposentadoria, uma gratificação de valor correspondente a 150% (cento e cinquenta por cento) de seu último salário, desde que, o empregado comunique sua aposentadoria ao empregador no prazo máximo de 90 (noventa) dias do deferimento.</w:t>
                  </w:r>
                </w:p>
                <w:p w14:paraId="3C3362C0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1A603F10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Auxílio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Alimentação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795FFE15" w14:textId="06538E18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DÉCIMA - AUXÍLIO REFEIÇÃO </w:t>
                  </w:r>
                </w:p>
                <w:p w14:paraId="72A37173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NOBRE fornecerá mensalmente, de acordo com o número de dias trabalhados, tíquetes de auxílio/refeição alimentação no valor mínimo diário de </w:t>
                  </w:r>
                  <w:r w:rsidRPr="00E57E33">
                    <w:rPr>
                      <w:rFonts w:ascii="Arial" w:hAnsi="Arial" w:cs="Arial"/>
                      <w:b/>
                      <w:sz w:val="22"/>
                      <w:szCs w:val="22"/>
                    </w:rPr>
                    <w:t>46,00 (Quarenta e seis reais).</w:t>
                  </w:r>
                </w:p>
                <w:p w14:paraId="03443281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Os tíquet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es deverão ser fornecidos até o último dia útil do mês imediatamente anterior àquele ao qual se refere o benefício, compensando-se no mês subsequente as eventuais interrupções e suspensões do contrato de trabalho havidas no mês de incidência do benefício;</w:t>
                  </w:r>
                </w:p>
                <w:p w14:paraId="6A523DBA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lastRenderedPageBreak/>
                    <w:t>Parágrafo Segundo</w:t>
                  </w:r>
                  <w:proofErr w:type="gramEnd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Em razão da concessão do benefício, a coparticipação do funcionário no programa de alimentação equivalerá a 01 (um) vale/ticket mensal;</w:t>
                  </w:r>
                </w:p>
                <w:p w14:paraId="7016F19F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Terceiro: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Respeitadas as disposições constantes desta cláusula, o fornecimento do benefício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de auxílio refeição ou de auxilio alimentação não é cumulativo com vantagens já concedidas pela NOBRE e em qualquer das modalidades não terá natureza salarial, nem se integrará na remuneração do empregado, nos termos da Lei n° 6.321/76, de 14 de abril de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1976;</w:t>
                  </w:r>
                </w:p>
                <w:p w14:paraId="2B93466B" w14:textId="72234794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DÉCIMA PRIMEIRA - AUXÍLIO ALIMENTAÇÃO </w:t>
                  </w:r>
                </w:p>
                <w:p w14:paraId="67CA5B93" w14:textId="1E013CEF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NOBRE fornecerá, mensalmente, a cada empregado, “ticket auxílio alimentação”, no valor de R$550,00 (quinhent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os e cinquenta reais), a todos os empregados, exceto aos afastados por qualquer motivo.</w:t>
                  </w:r>
                </w:p>
                <w:p w14:paraId="5928008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Único: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O Auxílio Alimentação objeto da presente cláusula não tem natureza salarial e não integra o salário de contribuição do empregado para qualquer finalid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ade.</w:t>
                  </w:r>
                </w:p>
                <w:p w14:paraId="6EA81021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407FB5D4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Auxílio Transporte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7E6F58F5" w14:textId="5004A804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DÉCIMA SEGUNDA - VALE TRANSPORTE </w:t>
                  </w:r>
                </w:p>
                <w:p w14:paraId="10B4B222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NOBRE fornecerá aos seus empregados, o VALE TRANSPORTE, segundo a LEI 7.418 de 16.12.1985, com a redação alterada pela Lei 7.619, de 30 de setembro de 1987, regulamentada pelo Decre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to n. º 95.247, de 16 de novembro de 1987.</w:t>
                  </w:r>
                </w:p>
                <w:p w14:paraId="7F227107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a) Os</w:t>
                  </w:r>
                  <w:proofErr w:type="gram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vales serão fornecidos de acordo com os dias efetivamente trabalhados presencialmente nas dependências da Nobre;</w:t>
                  </w:r>
                </w:p>
                <w:p w14:paraId="67571FF6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b) Em</w:t>
                  </w:r>
                  <w:proofErr w:type="gram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caso de interrupção ou suspensão de trabalho, os ajustes quanto aos vales a serem fornec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idos ou descontados deverão ser feitos no momento da concessão dos vales do mês imediatamente posterior ao ocorrido;</w:t>
                  </w:r>
                </w:p>
                <w:p w14:paraId="14721B7A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c) Caberá</w:t>
                  </w:r>
                  <w:proofErr w:type="gram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ao empregado, no ato da admissão, solicitar a concessão do benefício por escrito, indicando o trajeto respectivo;</w:t>
                  </w:r>
                </w:p>
                <w:p w14:paraId="7894DB8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d) O custeio a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cargo do beneficiário será de 6% (seis por cento) do salário básico, nos termos da legislação em vigor.</w:t>
                  </w:r>
                </w:p>
                <w:p w14:paraId="01B5C8F2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35EAA0BD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Auxílio Doença/Invalidez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05254EAE" w14:textId="095262B5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DÉCIMA TERCEIRA - COMPLEMENTAÇÃO DO AUXÍLIO PREVIDENCIÁRIO </w:t>
                  </w:r>
                </w:p>
                <w:p w14:paraId="03480F6E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Ao empregado que conte, pelo menos 18 (dezoito) mese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s de tempo de serviço na NOBRE e que esteja recebendo auxílio-doença ou auxílio doença acidentário da Previdência Social, será paga uma importância equivalente a 90% (noventa por cento) da diferença entre o eu salário e o valor daquele auxilio, obedecendo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as seguintes regras:</w:t>
                  </w:r>
                </w:p>
                <w:p w14:paraId="7E84947F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O complemento será devido somente entre o 16° (décimo – sexto) e o 180° (centésimo – octogésimo) dia de afastamento;</w:t>
                  </w:r>
                </w:p>
                <w:p w14:paraId="3F41CC6B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Segundo</w:t>
                  </w:r>
                  <w:proofErr w:type="gramEnd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Terá como limite máximo a importância de R$ 2.455,10 (dois mil, quatrocentos e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cinquenta e cinco reais e dez centavos).</w:t>
                  </w:r>
                </w:p>
                <w:p w14:paraId="5A4BEE3A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Terceiro: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O complemento será devido apenas uma vez a cada ano contratual.</w:t>
                  </w:r>
                </w:p>
                <w:p w14:paraId="2DFEFA3E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29D2E7D4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Auxílio Morte/Funeral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1B14788C" w14:textId="23B1A491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DÉCIMA QUARTA - AUXILIO FUNERAL </w:t>
                  </w:r>
                </w:p>
                <w:p w14:paraId="7B61661A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Ocorrendo falecimento de empregado, ainda que o vínculo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empregatício esteja suspenso ou interrompido e desde que conte mais de 3 (três) anos no emprego, a empresa concederá a seus dependentes previdenciários ou, na falta destes, a seus herdeiros, indenização correspondente a 100% (cem por cento) do seu salário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mensal vigente à época do óbito.</w:t>
                  </w:r>
                </w:p>
                <w:p w14:paraId="6296EC14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Falecendo cônjuge ou </w:t>
                  </w:r>
                  <w:proofErr w:type="gram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filho(</w:t>
                  </w:r>
                  <w:proofErr w:type="gram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a) do empregado, desde que estes sejam comprovadamente dependentes econômicos do mesmo, a empresa pagará a este último a indenização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prevista no “caput”, mantida a exigência pe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rtinente ao tempo de serviço mínimo previsto em favor do empregado;</w:t>
                  </w:r>
                </w:p>
                <w:p w14:paraId="52EBA63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Segundo</w:t>
                  </w:r>
                  <w:proofErr w:type="gramEnd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 indenização prevista no “caput” não será devida se a empresa mantiver contrato de seguro de vida em favor do empregado.</w:t>
                  </w:r>
                </w:p>
                <w:p w14:paraId="355360FF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5ABCDD25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Auxílio Creche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1A7CAB5C" w14:textId="1BA181E7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>CLÁUSULA DÉCIMA QUINTA - REE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MBOLSO CRECHE/TRANSPORTE ESCOLAR </w:t>
                  </w:r>
                </w:p>
                <w:p w14:paraId="3BC6B6DF" w14:textId="0D3071CF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NOBRE reembolsará, mensalmente, seus empregados sem distinção de sexo, o valor de </w:t>
                  </w:r>
                  <w:r w:rsidRPr="00E57E3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R$ </w:t>
                  </w:r>
                  <w:r w:rsidR="00E57E33" w:rsidRPr="00E57E33">
                    <w:rPr>
                      <w:rFonts w:ascii="Arial" w:hAnsi="Arial" w:cs="Arial"/>
                      <w:b/>
                      <w:sz w:val="22"/>
                      <w:szCs w:val="22"/>
                    </w:rPr>
                    <w:t>381,68</w:t>
                  </w:r>
                  <w:r w:rsidRPr="00E57E3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(trezentos e</w:t>
                  </w:r>
                  <w:r w:rsidR="00E57E33" w:rsidRPr="00E57E3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oitenta e um reais e </w:t>
                  </w:r>
                  <w:r w:rsidRPr="00E57E3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sessenta e </w:t>
                  </w:r>
                  <w:r w:rsidR="00E57E33" w:rsidRPr="00E57E33">
                    <w:rPr>
                      <w:rFonts w:ascii="Arial" w:hAnsi="Arial" w:cs="Arial"/>
                      <w:b/>
                      <w:sz w:val="22"/>
                      <w:szCs w:val="22"/>
                    </w:rPr>
                    <w:t>oito</w:t>
                  </w:r>
                  <w:r w:rsidRPr="00E57E3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reais)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para cada filho pelo período de 1 (um) ano, a contar do retorno da licença maternidade/pat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ernidade.</w:t>
                  </w:r>
                </w:p>
                <w:p w14:paraId="516269AB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Este reembolso será condicionado à comprovação das despesas com o internamento em creches ou instituições análogas de sua livre escolha;</w:t>
                  </w:r>
                </w:p>
                <w:p w14:paraId="477CAB19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Segundo: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O benefício previsto no “caput” será igualmente devido </w:t>
                  </w:r>
                  <w:proofErr w:type="gram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na</w:t>
                  </w:r>
                  <w:proofErr w:type="gram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hipótese do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beneficiário do direito preferir a contratação de empregada doméstica para a guarda da prole, condicionado o reembolso à comprovação do registro do contrato de trabalho de sua empregada como “babá” ou “pajem” e a apresentação do respectivo recibo mensal de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pagamento;</w:t>
                  </w:r>
                </w:p>
                <w:p w14:paraId="14BCC017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Terceiro: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Quando o nascimento da criança for anterior à data de contratação da empregada, o reembolso será devido até a criança completar 1 (um) ano de idade.</w:t>
                  </w:r>
                </w:p>
                <w:p w14:paraId="3AD94741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3C8F5950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Seguro de Vida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62621D97" w14:textId="64F0CDF7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DÉCIMA SEXTA - SEGURO DE VIDA </w:t>
                  </w:r>
                </w:p>
                <w:p w14:paraId="6916074A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NOBRE manterá seguro de vida e acidentes pessoais em favor de seus empregados, e na renovação do contrato de seguro, com valor de indenização igual a, pelo menos, R$ 13.967,75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(treze mil, novecentos e sessenta e sete reais e sessenta e cinco centavos) em caso de morte ou invalidez total permanente.</w:t>
                  </w:r>
                </w:p>
                <w:p w14:paraId="0D228F22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A eventual coparticipação do empregado no pagamento do prêmio do seguro não poderá exceder a 50% (cinquenta por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cento) do valor deste e somente poderá ser adotada mediante prévia e expressa autorização do trabalhador.</w:t>
                  </w:r>
                </w:p>
                <w:p w14:paraId="01D9B863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Segundo</w:t>
                  </w:r>
                  <w:proofErr w:type="gramEnd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 NOBRE ficará dispensada da obrigatoriedade da contratação do seguro relativamente aos empregados que não autorizem o desconto pre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visto no parágrafo imediatamente anterior.</w:t>
                  </w:r>
                </w:p>
                <w:p w14:paraId="188367D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Terceiro: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 NOBRE ficará igualmente dispensada da contratação do seguro de vida previsto no “caput”, relativamente, aos empregados cuja cobertura seja recusada por, no mínimo, 03 (três) seguradoras, deve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ndo, neste caso, ser firmado acordo que cubra os sinistros mencionados no “caput” apenas em decorrência de acidente.</w:t>
                  </w:r>
                </w:p>
                <w:p w14:paraId="043252BC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Quarto: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Ficam asseguradas as condições mais favoráveis aos empregados praticado pela NOBRE.</w:t>
                  </w:r>
                </w:p>
                <w:p w14:paraId="199CBB4F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Auxilio Saúde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2CCA8457" w14:textId="627D0269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>CLÁUSULA DÉCIMA SÉTI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MA – PLANO DE SAÚDE </w:t>
                  </w:r>
                </w:p>
                <w:p w14:paraId="7043D1BF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NOBRE manterá plano de saúde SMART500 da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NotreDame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Intermédica em favor de seus empregados para cidade de Campinas, com cobertura hospitalar, laboratorial, Psicólogo/Psicoterapia, </w:t>
                  </w:r>
                  <w:proofErr w:type="gram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Nutricional</w:t>
                  </w:r>
                  <w:proofErr w:type="gram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, cirurgia Miopia, cirurgia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Hipermetropa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ia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e Transplantes de rim, córnea e medula.</w:t>
                  </w:r>
                </w:p>
                <w:p w14:paraId="74D28BE9" w14:textId="70D2645D" w:rsidR="007D580C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Único: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 eventual coparticipação do empregado no pagamento do prêmio do seguro não poderá exceder a 50% (cinquenta por cento) do valor deste e somente poderá ser adotada mediante prévia e expressa autori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zação do trabalhador.</w:t>
                  </w:r>
                </w:p>
                <w:p w14:paraId="1694A26B" w14:textId="5349AFF1" w:rsidR="00E57E33" w:rsidRDefault="00E57E33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CEF8B5D" w14:textId="1CC24E52" w:rsidR="00E57E33" w:rsidRDefault="00E57E33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4369F7" w14:textId="66452230" w:rsidR="00E57E33" w:rsidRDefault="00E57E33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3D7624" w14:textId="77777777" w:rsidR="00E57E33" w:rsidRDefault="00E57E33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F5A8801" w14:textId="77777777" w:rsidR="00E57E33" w:rsidRPr="00E57E33" w:rsidRDefault="00E57E33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E42AC6" w14:textId="77777777" w:rsidR="00E57E33" w:rsidRDefault="009E4306" w:rsidP="00E57E33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lastRenderedPageBreak/>
                    <w:t xml:space="preserve">CLÁUSULA DÉCIMA OITAVA – AUXÍLIO ACADEMIA DE GINÁSTICA </w:t>
                  </w:r>
                </w:p>
                <w:p w14:paraId="7825713B" w14:textId="6D9623B1" w:rsidR="007D580C" w:rsidRPr="00E57E33" w:rsidRDefault="009E4306" w:rsidP="00E57E3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NOBRE pagará diretamente a academia indicada pelo empregado o valor de até R$150,00 (cento e cinquenta reais) para fins de orientações e acesso a equipamentos de exercício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físico ou treinamento esportivo.</w:t>
                  </w:r>
                </w:p>
                <w:p w14:paraId="4F75D46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Mensalmente o empregado deve solicitar a academia enviar a fatura e recibo de pagamento para Nobre com indicação do beneficiado da mesma;</w:t>
                  </w:r>
                </w:p>
                <w:p w14:paraId="76614F19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Segundo</w:t>
                  </w:r>
                  <w:proofErr w:type="gramEnd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Inexistirão reembolsos cumulativos e retroativ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os;</w:t>
                  </w:r>
                </w:p>
                <w:p w14:paraId="0E246553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Terceiro: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Os pagamentos serão realizados exclusivamente através de cobrança bancárias ou depósito bancário de titularidade da academia;</w:t>
                  </w:r>
                </w:p>
                <w:p w14:paraId="56521FBA" w14:textId="25AA8E05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Quarto: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O empregado poderá indicar mais de uma academia de modo a compor o limite mensal, porém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restrito a referência a prática de exercício e treinamento esportivo a si próprio.</w:t>
                  </w:r>
                </w:p>
                <w:p w14:paraId="279810DE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0FCBD684" w14:textId="4CB5A9AF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Contrato de Trabalho </w:t>
                  </w:r>
                  <w:r w:rsid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-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Admissão, Demissão, Modalidades </w:t>
                  </w:r>
                </w:p>
                <w:p w14:paraId="19F12C78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Desligamento/Demissão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5443B901" w14:textId="358160EE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DÉCIMA NONA - AVISO DE DISPENSA </w:t>
                  </w:r>
                </w:p>
                <w:p w14:paraId="451D4B28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dispensa de empregado deverá ser particip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ada por escrito, qualquer que seja o motivo, sob pena de gerar presunção absoluta de dispensa imotivada.</w:t>
                  </w:r>
                </w:p>
                <w:p w14:paraId="0FD917AC" w14:textId="53B9872E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VIGÉSIMA - HOMOLOGAÇÕES DAS RESCISÕES CONTRATUAIS </w:t>
                  </w:r>
                </w:p>
                <w:p w14:paraId="166DE8AB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Faculta-se ao Empregado, que possuir contrato de trabalho superior a 1 (um) ano, que ve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nha a ser desligado ou a se desligar a realização da homologação da rescisão do contrato de trabalho na NOBRE ou no SINTPQ.</w:t>
                  </w:r>
                </w:p>
                <w:p w14:paraId="1183B108" w14:textId="50F15433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VIGÉSIMA PRIMEIRA - CARTA DE REFERÊNCIA </w:t>
                  </w:r>
                </w:p>
                <w:p w14:paraId="042B2945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NOBRE, nas rescisões contratuais sem justa causa, mesmo que de iniciativa do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empregado, quando solicitadas, se obrigam a entregar aos ex-empregados cartas de referência.</w:t>
                  </w:r>
                </w:p>
                <w:p w14:paraId="06DAF9BC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19AB6795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Aviso Prévio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5FB18124" w14:textId="62B3CB51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VIGÉSIMA SEGUNDA - DISPENSA DO AVISO PRÉVIO </w:t>
                  </w:r>
                </w:p>
                <w:p w14:paraId="37B41CE4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O empregado despedido ficará dispensado do cumprimento do aviso prévio, quando comprovar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obtenção de novo emprego, valendo o último dia efetivamente trabalhado para cálculo de todas as verbas rescisórias.</w:t>
                  </w:r>
                </w:p>
                <w:p w14:paraId="13C5365D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0FC357F8" w14:textId="081471A6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Relações de Trabalho </w:t>
                  </w:r>
                  <w:r w:rsid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-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Condições de Trabalho, Normas de Pessoal e Estabilidades </w:t>
                  </w:r>
                </w:p>
                <w:p w14:paraId="541271D3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Adaptação de função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62A59659" w14:textId="4B283E4D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>CLÁUSULA VIGÉSIMA TERCEIRA - SA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LÁRIO DO SUCESSOR </w:t>
                  </w:r>
                </w:p>
                <w:p w14:paraId="0585C75A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Admitido ou promovido empregado para função de outro dispensado sem justa causa, será garantido àquele salário igual ao do empregado de menor salário na função, sem considerar vantagens pessoais.</w:t>
                  </w:r>
                </w:p>
                <w:p w14:paraId="783D7433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689FC4AE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Igualdade de Oportunidades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544946AA" w14:textId="0C15C25E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>CLÁUSULA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VIGÉSIMA QUARTA - ISONOMIA DE GÊNERO </w:t>
                  </w:r>
                </w:p>
                <w:p w14:paraId="1A28C07A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NOBRE deverá assegurar a igualdade de tratamento salarial, independentemente de discriminação em razão do sexo, raça, idade, nacionalidade, estado civil ou orientação sexual. Será garantido a todas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as funcionárias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os mesmos tratamentos dispensados aos funcionários garantindo assim justiça e imparcialidade frente aos desafios no trabalho entre eles:</w:t>
                  </w:r>
                </w:p>
                <w:p w14:paraId="286CBE32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1 - Mesmas oportunidades de trabalho e ascensão aos cargos de direção na empresa;</w:t>
                  </w:r>
                </w:p>
                <w:p w14:paraId="6EC94EA4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2 - Mesmas condições salariais,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garantindo salários iguais para iguais funções.</w:t>
                  </w:r>
                </w:p>
                <w:p w14:paraId="3BDAD88C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  <w:p w14:paraId="55B24D26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34467FED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Estabilidade Mãe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0FA667C4" w14:textId="3991FC76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VIGÉSIMA QUINTA - ESTABILIDADE PROVISÓRIA DA GESTANTE </w:t>
                  </w:r>
                </w:p>
                <w:p w14:paraId="7DE7744F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empregada gestante é assegurada estabilidade provisória, salvo em caso de demissão por motivo de justa causa, desde o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início da gestação até 06 (seis) meses após o retorno da Licença Maternidade.</w:t>
                  </w:r>
                </w:p>
                <w:p w14:paraId="3365FE0D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6ACFFC3B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Estabilidade Serviço Militar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480C5686" w14:textId="7A84E7A8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VIGÉSIMA SEXTA - ESTABILIDADE DO ALISTADO NO SERVIÇO MILITAR </w:t>
                  </w:r>
                </w:p>
                <w:p w14:paraId="1C602C85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Ao empregado em idade de prestação de serviço militar, desde que conte,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no mínimo, 12 (doze) meses de tempo de serviço na empresa, fica assegurada estabilidade provisória desde o alistamento até 30 (trinta) dias após o término do compromisso.</w:t>
                  </w:r>
                </w:p>
                <w:p w14:paraId="3098BBFD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6E70B24C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Estabilidade Aposentadoria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74750232" w14:textId="4D4CDE8B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>CLÁUSULA VIGÉSIMA SÉTIMA - ESTABILIDADE PRÉ-APOSENTAD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ORIA </w:t>
                  </w:r>
                </w:p>
                <w:p w14:paraId="47E22A48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Ao empregado que conte, no mínimo, 05 (cinco) anos de tempo de serviço na NOBRE e que se encontre dentro do prazo inferior a 01 (um) ano para completar o período exigido pela Previdência Social, para requerer aposentadoria por tempo de serviço ou p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or idade, fica assegurada estabilidade provisória por esse período.</w:t>
                  </w:r>
                </w:p>
                <w:p w14:paraId="4A7CD835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327F511B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Outras normas de pessoal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59574935" w14:textId="0CBA32C4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VIGÉSIMA OITAVA - RELAÇÃO HOMOAFETIVA </w:t>
                  </w:r>
                </w:p>
                <w:p w14:paraId="04A04C47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Fica assegurado aos empregados em união homo afetiva, a garantia de todos os direitos previstos no presente i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nstrumento, de forma a facilitar o resguardo dos interesses de seus companheiros (as) e dependentes habilitados perante a Previdência Social.</w:t>
                  </w:r>
                </w:p>
                <w:p w14:paraId="149AE0FD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Único: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 relação homoafetiva estável dar-se-á a partir do reconhecimento pela Previdência Social, consoa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nte disciplinam o art. </w:t>
                  </w:r>
                  <w:proofErr w:type="gram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52 parágrafo</w:t>
                  </w:r>
                  <w:proofErr w:type="gram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4° da Instrução INSS/DC n° 20/07 de 11/10/2007, e a Instrução Normativa INSS/DC n° 24 de 07/06/2000, e alterações posteriores.</w:t>
                  </w:r>
                </w:p>
                <w:p w14:paraId="14B60F4C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277591BB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Outras estabilidades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64647279" w14:textId="7CEE7D18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VIGÉSIMA NONA - ESTABILIDADE AO AFASTADO PELA PREVIDÊNCIA </w:t>
                  </w:r>
                </w:p>
                <w:p w14:paraId="7C8866FE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Ao empregado afastado pela Previdência Social por motivo de auxílio-doença, fica assegurada estabilidade provisória, salvo se contratado a título experimental ou por motivo de justa causa para a demissão, pelo período em que ficou sob custódia da Previdê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ncia Social, limitado ao máximo de 60 (sessenta) dias após sua alta.</w:t>
                  </w:r>
                </w:p>
                <w:p w14:paraId="17E412B7" w14:textId="50BE4A2C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TRIGÉSIMA - ESTABILIDADE APÓS O RETORNO DAS FÉRIAS </w:t>
                  </w:r>
                </w:p>
                <w:p w14:paraId="23AEB473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Fica assegurada, a todos os empregados, estabilidade provisória no emprego após o retorno de suas férias, por igual prazo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dos dias de descanso.</w:t>
                  </w:r>
                </w:p>
                <w:p w14:paraId="004D5B93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32BEC7EE" w14:textId="7535CD46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lastRenderedPageBreak/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Jornada de Trabalho </w:t>
                  </w:r>
                  <w:r w:rsid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-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Duração, Distribuição, Controle, Faltas </w:t>
                  </w:r>
                </w:p>
                <w:p w14:paraId="5C08D1C6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Duração e Horário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596478C3" w14:textId="1EAD9AD0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TRIGÉSIMA PRIMEIRA - JORNADA DE TRABALHO </w:t>
                  </w:r>
                </w:p>
                <w:p w14:paraId="7E79B6E4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Jornada de trabalho dos empregados da NOBRE será flexível, de 40 (quarenta) horas semanais,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e poderá ser cumprida de segunda a sexta-feira, entre às 7h e 20h, observada a Cláusula COMPENSAÇÃO DE HORÁRIO DE TRABALHO: BANCO DE HORAS.</w:t>
                  </w:r>
                </w:p>
                <w:p w14:paraId="1E6A31CE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Único: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 NOBRE proporá, no prazo de vigência do presente Acordo, para debate com os colaboradores, o estud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o sobre a viabilidade de implantação de home office, observadas as sugestões dos gestores e as necessidades específicas de cada área.</w:t>
                  </w:r>
                </w:p>
                <w:p w14:paraId="6B0571BE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  <w:p w14:paraId="4AE971EB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78C433C9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Compensação de Jornada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1A03AA0C" w14:textId="25854DE2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TRIGÉSIMA SEGUNDA - COMPENSAÇÃO DE PONTES E FERIADOS </w:t>
                  </w:r>
                </w:p>
                <w:p w14:paraId="199F43F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NOBRE criará anualmente e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divulgará a todos os empregados calendário de compensação anual dos dias pontes de feriados, inclusive a compensação do período entre NATAL e Ano Novo.</w:t>
                  </w:r>
                </w:p>
                <w:p w14:paraId="0DFDFCCC" w14:textId="3912EA8C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TRIGÉSIMA TERCEIRA - COMPENSAÇÃO DE HORÁRIO DE TRABALHO: BANCO DE HORAS </w:t>
                  </w:r>
                </w:p>
                <w:p w14:paraId="63D7D0D5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Nos termos do §2º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do artigo 59 da Consolidação das Leis do Trabalho, ficam estabelecidos os critérios do BANCO DE HORAS para os empregados da NOBRE, a ser oportunamente instituído, o qual NÃO se aplicará aos empregados que possuem cargo de confiança ou àqueles que exerçam c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argos sem fiscalização de horário, de acordo com os seguintes limites:</w:t>
                  </w:r>
                </w:p>
                <w:p w14:paraId="69737A75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Não estarão sujeitas a acréscimo salarial as horas acrescidas em um ou mais dias da semana, com correspondente redução em um ou outro dia, sem que seja excedido o ho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rário contratual contado em período de 180 (cento e oitenta) dias a partir da ocorrência. As horas trabalhadas excedentes desse horário, desde que devidamente autorizadas, ficarão sujeitas aos adicionais previstos na cláusula quinta desta norma coletiva;</w:t>
                  </w:r>
                </w:p>
                <w:p w14:paraId="0E2DB6BE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</w:t>
                  </w: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arágrafo Segundo</w:t>
                  </w:r>
                  <w:proofErr w:type="gramEnd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Estarão sujeitas à inclusão no Banco de Horas as horas adicionais autorizadas pelo Gestor (créditos) e acumuladas;</w:t>
                  </w:r>
                </w:p>
                <w:p w14:paraId="0AC86181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Terceiro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- As horas em sobre jornada serão lançadas em BANCO DE HORAS até o limite de 20 (vinte) horas mensais, n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ão podendo ultrapassar, a qualquer tempo, a soma de 80 (oitenta) horas de crédito ou débito;</w:t>
                  </w:r>
                </w:p>
                <w:p w14:paraId="44515A78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Quarto: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As horas adicionais que ultrapassarem o limite de 80 horas no período de 180 dias serão pagas como horas extras com os devidos acréscimos legais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previstos na cláusula quinta, no pagamento salarial subsequente ao término do período de compensação;</w:t>
                  </w:r>
                </w:p>
                <w:p w14:paraId="000887D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Quinto: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Serão consideradas como horas negativas (débitos) aquelas decorrentes do não cumprimento injustificado da jornada pelo trabalhador, apur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adas no período de 180 dias. Referidas horas serão automaticamente descontadas quando não compensadas no prazo de 180 dias;</w:t>
                  </w:r>
                </w:p>
                <w:p w14:paraId="624EDE59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Sexto: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Para compensar as horas trabalhadas e creditadas no BANCO DE HORAS, a NOBRE poderá conceder folgas individuais ou c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oletivas ou reduzir a jornada, informando previamente ao empregado, podendo, ainda, lançar mão de folgas adicionais, de horas ou dias, atrasos, saídas antecipadas, licenças, prorrogação de férias e pontes para compensação de feriados;</w:t>
                  </w:r>
                </w:p>
                <w:p w14:paraId="06B4E77C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Sétimo: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As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horas consideradas crédito e débito serão computadas na mesma paridade (1:1);</w:t>
                  </w:r>
                </w:p>
                <w:p w14:paraId="6521376B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Oitavo: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Em qualquer hipótese de rescisão contratual, havendo horas positivas (saldo credor), caberá à NOBRE pagá-las ao empregado nos termos da legislação em vigor;</w:t>
                  </w:r>
                </w:p>
                <w:p w14:paraId="4657E6A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</w:t>
                  </w: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ágrafo Nono: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Na hipótese de rescisão contratual por iniciativa do empregado ou justa causa do mesmo, havendo horas negativas (saldo devedor), as mesmas serão descontadas das verbas rescisórias;</w:t>
                  </w:r>
                </w:p>
                <w:p w14:paraId="35377166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lastRenderedPageBreak/>
                    <w:t>Parágrafo Décimo: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Na hipótese de rescisão contratual por demis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são sem justa causa do empregado, eventual saldo de horas devedor não será descontado pela NOBRE;</w:t>
                  </w:r>
                </w:p>
                <w:p w14:paraId="2B0637C3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Décimo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Fica estabelecido que, não obstante a adoção do sistema de compensação de jornada previsto nesta cláusula, o sábado deverá ser cons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iderado dia útil não trabalhado por mera liberalidade da Empregadora e não dia de repouso, podendo a NOBRE voltar a exigir, de acordo com a necessidade e prévia ciência do empregado, o trabalho nesse dia;</w:t>
                  </w:r>
                </w:p>
                <w:p w14:paraId="28960849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Décimo Segundo: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As partes convencionam qu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e somente as horas efetivamente trabalhadas como parte da jornada diária, horas-extras ou aquelas incluídas no BANCO DE HORAS serão computadas para fins de apuração do intervalo de 11 horas entre jornadas;</w:t>
                  </w:r>
                </w:p>
                <w:p w14:paraId="1EC8A732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Décimo Terceiro: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Fica facultado à NOBRE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instituir o BANCO DE HORAS previsto nesta Cláusula a qualquer momento, durante a vigência deste Acordo;</w:t>
                  </w:r>
                </w:p>
                <w:p w14:paraId="12C2F85E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Décimo Quarto: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Instituído o Banco de Horas, a NOBRE entregará mensalmente, de forma individualizada, o demonstrativo do saldo do banco de hora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 aos seus empregados. As horas que integram o BANCO DE HORAS poderão ser compensadas no próprio mês em que tiverem sido trabalhadas ou no mesmos posteriores, observado o limite máximo de 180 (cento e oitenta) dias.</w:t>
                  </w:r>
                </w:p>
                <w:p w14:paraId="5CBEE166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21D9E930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Controle da Jornada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3FD395D4" w14:textId="58600461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>CLÁUSULA TRIGÉSI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MA QUARTA - CONTROLE DA JORNADA </w:t>
                  </w:r>
                </w:p>
                <w:p w14:paraId="3327B31E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NOBRE praticará o controle de jornada de acordo com a legislação em vigor, comprometendo-se a avisar previamente os funcionários acerca de eventuais funcionalidades do Sistema adotado.</w:t>
                  </w:r>
                </w:p>
                <w:p w14:paraId="150F5C38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09518D6A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Faltas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18AAD069" w14:textId="49423276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>CLÁUSULA TRIGÉSIMA QUIN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TA - EMPREGADO ESTUDANTE </w:t>
                  </w:r>
                </w:p>
                <w:p w14:paraId="6C0A08C2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Ao empregado estudante, menor de 18 (dezoito) anos, sujeito ao regime de trabalho de tempo integral, será permitida a saída antecipada de 2h00 (duas horas) ao final do expediente, em dias de provas escolares, condicionada à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prévia comunicação à empresa e posterior comprovação por atestado fornecido pela instituição de ensino.</w:t>
                  </w:r>
                </w:p>
                <w:p w14:paraId="57FEF8A8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Único: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Para a prestação de exames vestibulares para o ingresso em curso profissionalizante de segundo grau, o empregado poderá faltar até 3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(três) dias consecutivos por ano, condicionadas as faltas à prévia comunicação a empresa e posterior comprovação.</w:t>
                  </w:r>
                </w:p>
                <w:p w14:paraId="6B961A5F" w14:textId="2E55A6CF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TRIGÉSIMA SEXTA - AUSÊNCIAS LEGAIS </w:t>
                  </w:r>
                </w:p>
                <w:p w14:paraId="787EAA71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Os empregados poderão se ausentar do serviço, sem prejuízo de seus salários e sem necessidade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de compensação, nos seguintes casos:</w:t>
                  </w:r>
                </w:p>
                <w:p w14:paraId="2E5D9BAD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Por 24 horas por semestre, a fim de levar filho menor ao médico, ou pais idosos, condicionada a falta à comprovação através de competente atestado médico;</w:t>
                  </w:r>
                </w:p>
                <w:p w14:paraId="582A019B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Segundo</w:t>
                  </w:r>
                  <w:proofErr w:type="gramEnd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Por 3 (três) dias úteis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em virtude de casamento;</w:t>
                  </w:r>
                </w:p>
                <w:p w14:paraId="5E8C7544" w14:textId="082438CE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Terceiro: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  <w:r w:rsidR="00E57E33" w:rsidRPr="00E57E33">
                    <w:rPr>
                      <w:rFonts w:ascii="Arial" w:hAnsi="Arial" w:cs="Arial"/>
                      <w:sz w:val="22"/>
                      <w:szCs w:val="22"/>
                    </w:rPr>
                    <w:t>Por 7 (sete) dias corridos e consecutivos a partir do laudo de óbito em caso de falecimento de cônjuge, ascendente, descendente, sogro, sogra, irmão ou pessoa que comprovadamente viva sob dependência econômica do empregado</w:t>
                  </w:r>
                  <w:r w:rsid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ou na mesma residência</w:t>
                  </w:r>
                  <w:r w:rsidR="00E57E33" w:rsidRPr="00E57E33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4D7BA95D" w14:textId="56351ED4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>CLÁUSULA TRIG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ÉSIMA SÉTIMA - APERFEIÇOAMENTO PROFISSIONAL </w:t>
                  </w:r>
                </w:p>
                <w:p w14:paraId="1C1D31B3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Para a realização de cursos que venham a contribuir para seu desenvolvimento profissional e, ao mesmo tempo, também sejam de interesse da empresa, os empregados poderão se ausentar do serviço por até 18h00 (de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zoito horas) anuais, que serão consideradas, para todos os efeitos, como de trabalho.</w:t>
                  </w:r>
                </w:p>
                <w:p w14:paraId="27085C7F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Único: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 utilização das horas previstas no “caput” depende de prévia e expressa autorização da NOBRE e posterior comprovação da frequência do empregado.</w:t>
                  </w:r>
                </w:p>
                <w:p w14:paraId="06D13E05" w14:textId="635E0F78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lastRenderedPageBreak/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>CLÁUS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ULA TRIGÉSIMA OITAVA - PAGAMENTO ATRAVÉS DE BANCOS </w:t>
                  </w:r>
                </w:p>
                <w:p w14:paraId="2444FD0A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Sempre que os salários forem pagos através de bancos, será assegurado aos empregados intervalo remunerado durante sua jornada de trabalho para emitir o recebimento. O empregado terá, igualmente, tempo l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ivre remunerado suficiente para o recebimento do PIS, benefícios previdenciários e levantamento de FGTS.</w:t>
                  </w:r>
                </w:p>
                <w:p w14:paraId="05AC3D75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Único: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O intervalo mencionado no “caput” não poderá coincidir com aquele destinado a repouso e alimentação.</w:t>
                  </w:r>
                </w:p>
                <w:p w14:paraId="3BBE564B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10015C35" w14:textId="2A845D44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Férias e Licenças </w:t>
                  </w:r>
                </w:p>
                <w:p w14:paraId="1F3B1261" w14:textId="32FAB80B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Duração e C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oncessão de Férias </w:t>
                  </w:r>
                </w:p>
                <w:p w14:paraId="383CE4C3" w14:textId="7FB57622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TRIGÉSIMA NONA - INÍCIO DE GOZO DAS FÉRIAS </w:t>
                  </w:r>
                </w:p>
                <w:p w14:paraId="1320D84C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Será assegurada a concessão de férias a todos os funcionários que solicitarem, com a opção de serem divididas em até três períodos, conforme legislação vigente.</w:t>
                  </w:r>
                </w:p>
                <w:p w14:paraId="6E168BB6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  <w:p w14:paraId="71FAB67B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3A378625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Licença Materni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dade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7F21FDD9" w14:textId="68832FD4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QUADRAGÉSIMA - LICENÇA MATERNIDADE </w:t>
                  </w:r>
                </w:p>
                <w:p w14:paraId="561467D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licença maternidade na NOBRE será de 180 (cento e oitenta) dias, garantindo-se a estabilidade provisória à empregada gestante, salvo se dispensada por justa causa, desde o início da gestação até 06 (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seis) meses após o retorno da Licença Maternidade.</w:t>
                  </w:r>
                </w:p>
                <w:p w14:paraId="67DF8BAC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Será concedida licença à mãe, no caso de seu filho ser acometido por doença Infectocontagiosa, comprovada mediante atestado médico idôneo, e pelo período nele consignado;</w:t>
                  </w:r>
                </w:p>
                <w:p w14:paraId="05FE4205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Segu</w:t>
                  </w: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ndo</w:t>
                  </w:r>
                  <w:proofErr w:type="gramEnd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Em caso de, durante a vigência do presente Acordo, for promulgada legislação mais favorável esta passará a vigorar imediatamente.</w:t>
                  </w:r>
                </w:p>
                <w:p w14:paraId="063768F3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16C1EF6C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Licença Adoção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290ABE1B" w14:textId="18F371E6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</w:t>
                  </w:r>
                  <w:proofErr w:type="gramStart"/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QUADRAGÉSIMA  PRIMEIRA</w:t>
                  </w:r>
                  <w:proofErr w:type="gramEnd"/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- LICENÇA MATERNIDADE/PATERNIDADE PARA PAIS ADOTANTES </w:t>
                  </w:r>
                </w:p>
                <w:p w14:paraId="1C2BCA4F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licença maternidade na NOBRE garantirá à empregada ou empregado que adotar ou obtiver guarda judicial para fins de adoção de criança, será concedida licença maternidade e ou licença paternidade nos mesmo moldes praticados na clausula de Licença Maternida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de e ou Licença Paternidade.</w:t>
                  </w:r>
                </w:p>
                <w:p w14:paraId="56FCEA87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Único: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 licença maternidade/paternidade só será concedida mediante apresentação do termo judicial de guarda à adotante ou guardiã.</w:t>
                  </w:r>
                </w:p>
                <w:p w14:paraId="3FBE0EDD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794D1B9C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Outras disposições sobre férias e licenças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1E291C05" w14:textId="1D59CE9D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>CLÁUSULA QUADRAGÉSIMA SEGUNDA - LICENÇ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A DO PATERNIDADE </w:t>
                  </w:r>
                </w:p>
                <w:p w14:paraId="2A24B878" w14:textId="19581F59" w:rsidR="007D580C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NOBRE propiciará a licença paternidade de 20 (vinte) dias corridos no nascimento do filho.</w:t>
                  </w:r>
                </w:p>
                <w:p w14:paraId="64B769A7" w14:textId="77777777" w:rsidR="00E57E33" w:rsidRPr="00E57E33" w:rsidRDefault="00E57E33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E4C33EB" w14:textId="6B5D2114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Relações Sindicais </w:t>
                  </w:r>
                </w:p>
                <w:p w14:paraId="1C706902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Sindicalização (campanhas e contratação de sindicalizados)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22CF42E2" w14:textId="77777777" w:rsidR="00E57E33" w:rsidRDefault="00E57E33" w:rsidP="00E57E33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C9AEC54" w14:textId="77777777" w:rsidR="00E57E33" w:rsidRDefault="00E57E33" w:rsidP="00E57E33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94C71F5" w14:textId="77777777" w:rsidR="00E57E33" w:rsidRDefault="00E57E33" w:rsidP="00E57E33">
                  <w:pP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F7932C4" w14:textId="5D09DDD0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lastRenderedPageBreak/>
                    <w:br/>
                    <w:t xml:space="preserve">CLÁUSULA QUADRAGÉSIMA </w:t>
                  </w:r>
                  <w:r w:rsid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TERCEIRA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- FILIAÇÃO/NOVOS EMPREGADOS </w:t>
                  </w:r>
                </w:p>
                <w:p w14:paraId="079D5629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NOBRE disponibilizará 2 (duas) vezes ao ano espaço interno e apropriado par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que o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SINTPq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possa fazer campanha de sindicalização.</w:t>
                  </w:r>
                </w:p>
                <w:p w14:paraId="39FF04EA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Único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: Para todos os empregados a serem admitidos e que solicitarem, a NOBRE deverá entregar uma cópia do acordo coletivo de trabalho vigente e ficha de associação ao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SINTPq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, se comprometendo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a enviar os formulários preenchidos para o sindicato dentro do mês de admissão.</w:t>
                  </w:r>
                </w:p>
                <w:p w14:paraId="076C4A52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606BDFF0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Acesso do Sindicato ao Local de Trabalho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257AE437" w14:textId="5D3FA29F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QUADRAGÉSIMA </w:t>
                  </w:r>
                  <w:r w:rsid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QUARTA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- LOCAL DE TRABALHO/QUADRO DE AVISOS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</w:p>
                <w:p w14:paraId="7691C647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NOBRE receberá o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SINTPq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desde que com pré-aviso de 24 horas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de antecedência da visita/atividade. Será concedido espaço interno/quadro de avisos nas instalações da empresa para que o Sindicato afixe ou distribua boletins ou materiais de comunicação aos trabalhadores.</w:t>
                  </w:r>
                </w:p>
                <w:p w14:paraId="517089C1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6561839B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Representante Sindical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6902D0FC" w14:textId="1D426360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>CLÁUSULA QUADRAGÉSIMA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QUINTA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- DIRIGENTE SINDICAL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</w:p>
                <w:p w14:paraId="2C18412B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Os dirigentes sindicais, eleitos, poderão ausentar-se do serviço, sem prejuízo de remuneração, desde que avisado à NOBRE através de ofício com antecedência de até 48h para participarem de reuniões, encontros, congressos, nego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ciação coletivas e outras atividades relacionadas ao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SINTPq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3988DE7F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52CC79BD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Contribuições Sindicais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09672C11" w14:textId="596A9E4B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QUADRAGÉSIMA </w:t>
                  </w:r>
                  <w:r w:rsid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SEXTA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- COTA DE PARTICIPAÇÃO NEGOCIAL </w:t>
                  </w:r>
                </w:p>
                <w:p w14:paraId="56124AF0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NOBRE descontará, 2%, 3 % ou 4% (dois, três ou quatro por cento) do salário nominal, de todos empregados, a partir da assinatura do presente acordo, divididos em até 4 (quatro) parcelas mensais, iguais e consecutivas, através da folha de pagamento, em fa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vor do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SINTPq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, a título de COTA DE PARTICIPAÇÃO NEGOCIAL.</w:t>
                  </w:r>
                </w:p>
                <w:p w14:paraId="16D1ACF6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Primeiro: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O trabalhador deverá optar por um dos percentuais definidos no caput da cláusula e entregar a carta/formulário no RH da empresa, no prazo definido e divulgado pelo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SINTPq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04E50FB2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</w:t>
                  </w: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afo Segundo</w:t>
                  </w:r>
                  <w:proofErr w:type="gramEnd"/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Para os trabalhadores que não se manifestarem dentro do prazo definido, o desconto será de 4% (quatro por cento).</w:t>
                  </w:r>
                </w:p>
                <w:p w14:paraId="6297C739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Terceiro: 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Os trabalhadores reconhecem que a campanha salarial é um trabalho coletivo, organizado pelo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SINTPq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, para bene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ficiar a todos, independentemente da associação ao sindicato, através do acordo coletivo de trabalho (ACT), e para preservar os princípios da solidariedade, isonomia, da categoria participativa e da boa-fé objetiva, autorizam o seu desconto;</w:t>
                  </w:r>
                </w:p>
                <w:p w14:paraId="73C2D24F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Paragrafo Quar</w:t>
                  </w: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to: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Após o repasse dos valores da cota de participação negocial, a empresa deverá encaminhar lista contendo, nome, matrícula funcional e valor descontado de cada empregado, além do número de trabalhadores ativos no momento do recolhimento.</w:t>
                  </w:r>
                </w:p>
                <w:p w14:paraId="140B2387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 xml:space="preserve">Parágrafo </w:t>
                  </w: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Quinto: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Para os trabalhadores que forem admitidos durante a vigência do acordo, a empresa deverá dar ciência da cota de participação negocial e proceder conforme o caput desta cláusula.</w:t>
                  </w:r>
                </w:p>
                <w:p w14:paraId="0A5EAB38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Sexto: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Para os trabalhadores que forem desligados durante o 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período de desconto da cota de participação negocial, as parcelas restantes deverão ser descontadas em rescisão e repassadas ao sindicato.</w:t>
                  </w:r>
                </w:p>
                <w:p w14:paraId="6CDB2728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t>Parágrafo Sétimo: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 Após a assinatura do acordo coletivo pelas partes, o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SINTPq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dará ampla divulgação das condições e d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ata do início do desconto da cota de participação negocial.</w:t>
                  </w:r>
                </w:p>
                <w:p w14:paraId="1E9D2EAF" w14:textId="0BD365F9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Style w:val="Forte"/>
                      <w:rFonts w:ascii="Arial" w:hAnsi="Arial" w:cs="Arial"/>
                      <w:sz w:val="22"/>
                      <w:szCs w:val="22"/>
                    </w:rPr>
                    <w:lastRenderedPageBreak/>
                    <w:t>Parágrafo Oitavo: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A NOBRE efetuará o desconto que trata esta cláusula como simples intermediária, não recaindo sobre ela qualquer ônus por eventual reclamação judicial ou administrativa, assumindo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desde já o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SINTPq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a total responsabilidade pelos valores descontados dos empregados em qualquer hipótese. Na eventualidade de reclamação trabalhista ou autuação pela fiscalização do trabalho, o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SINTPq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responderá perante a EMPRESA e demais entidades e inte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ressados.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  <w:p w14:paraId="0F14C333" w14:textId="7B15ABB4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QUADRAGÉSIMA </w:t>
                  </w:r>
                  <w:r w:rsid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SÉTIMA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- CONTRIBUIÇÃO SINDICAL </w:t>
                  </w:r>
                </w:p>
                <w:p w14:paraId="2A9123EA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NOBRE informará ao SINTPQ a relação nominal de todos os trabalhadores que fizerem a opção pelo desconto da contribuição sindical.</w:t>
                  </w:r>
                  <w:bookmarkStart w:id="0" w:name="_GoBack"/>
                  <w:bookmarkEnd w:id="0"/>
                </w:p>
                <w:p w14:paraId="1D1B9E2E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478FF9D7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Outras disposições sobre relação entre sindicato e em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presa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7970909B" w14:textId="45670B82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QUADRAGÉSIMA </w:t>
                  </w:r>
                  <w:r w:rsid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OITAVA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- CADASTRO DE TRABALHADORES </w:t>
                  </w:r>
                </w:p>
                <w:p w14:paraId="6E6892E6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A NOBRE encaminhará ao </w:t>
                  </w:r>
                  <w:proofErr w:type="spellStart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SINTPq</w:t>
                  </w:r>
                  <w:proofErr w:type="spellEnd"/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até o dia 10 de janeiro uma relação contendo nome, data de admissão, função, pis, salário e matrícula funcional de todos os trabalhadores.</w:t>
                  </w:r>
                </w:p>
                <w:p w14:paraId="3CD886DA" w14:textId="45A683B6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QUADRAGÉSIMA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NONA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- RELAÇÕES NOMINAIS E DADOS DOS ASSOCIADOS </w:t>
                  </w:r>
                </w:p>
                <w:p w14:paraId="59BA386E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NOBRE deverá encaminhar a lista da mensalidade de associados filiados ao SINTPQ e outros documentos solicitados relativamente aos seus associados no prazo definido com as normas da entidade.</w:t>
                  </w:r>
                </w:p>
                <w:p w14:paraId="5813A8A1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05390C12" w14:textId="2017AC18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Disposiçõe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s Gerais </w:t>
                  </w:r>
                </w:p>
                <w:p w14:paraId="7890D15F" w14:textId="4731D96E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Aplicação do Instrumento Coletivo </w:t>
                  </w:r>
                </w:p>
                <w:p w14:paraId="66BD2A9C" w14:textId="6E534336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QUINQUAGÉSIMA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- APLICAÇÃO </w:t>
                  </w:r>
                </w:p>
                <w:p w14:paraId="0218A1AE" w14:textId="77777777" w:rsidR="007D580C" w:rsidRPr="00E57E33" w:rsidRDefault="009E4306" w:rsidP="00E57E33">
                  <w:pPr>
                    <w:pStyle w:val="western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Os termos do presente acordo coletivo aplicam-se, exclusivamente, a NOBRE e aos seus empregados.</w:t>
                  </w:r>
                </w:p>
                <w:p w14:paraId="05FF3F1F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2C253081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Descumprimento do Instrumento Coletivo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29C27DBA" w14:textId="63DB6766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CLÁUSULA QUINQUAGÉSIMA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PRIMEIRA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- CLÁUSULA PENAL </w:t>
                  </w:r>
                </w:p>
                <w:p w14:paraId="255E0DFE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Pelo descumprimento de qualquer das cláusulas estipuladas no presente acordo, será aplicado à NOBRE uma multa de 5% (cinco por cento) do salário do empregado atingido pela infração, revertendo esta a favor</w:t>
                  </w: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 xml:space="preserve"> do empregado.</w:t>
                  </w:r>
                </w:p>
                <w:p w14:paraId="244B9B0F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p w14:paraId="03885F1D" w14:textId="77777777" w:rsidR="007D580C" w:rsidRPr="00E57E33" w:rsidRDefault="009E4306" w:rsidP="00E57E33">
                  <w:pPr>
                    <w:jc w:val="center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Outras Disposições 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21B59066" w14:textId="4AA1F671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CLÁUSULA QUINQUAGÉSIMA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>SEGUNDA</w:t>
                  </w:r>
                  <w:r w:rsidRPr="00E57E3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- DIVULGAÇÃO DO ACORDO </w:t>
                  </w:r>
                </w:p>
                <w:p w14:paraId="4D71655E" w14:textId="77777777" w:rsidR="007D580C" w:rsidRPr="00E57E33" w:rsidRDefault="009E4306" w:rsidP="00E57E3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hAnsi="Arial" w:cs="Arial"/>
                      <w:sz w:val="22"/>
                      <w:szCs w:val="22"/>
                    </w:rPr>
                    <w:t>A NOBRE disponibilizará pelo meio eletrônico as cláusulas estipuladas no presente Acordo Coletivo.</w:t>
                  </w:r>
                </w:p>
                <w:p w14:paraId="124AB436" w14:textId="77777777" w:rsidR="007D580C" w:rsidRPr="00E57E33" w:rsidRDefault="007D580C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7D580C" w:rsidRPr="00E57E33" w14:paraId="56966589" w14:textId="77777777" w:rsidTr="009E430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6F02A5F" w14:textId="70E5CBD3" w:rsidR="007D580C" w:rsidRPr="00E57E33" w:rsidRDefault="007D580C" w:rsidP="009E4306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550E439" w14:textId="194D29EA" w:rsidR="007D580C" w:rsidRPr="00E57E33" w:rsidRDefault="009E4306" w:rsidP="00E57E33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E57E33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A4C4172" w14:textId="77777777" w:rsidR="007D580C" w:rsidRPr="00E57E33" w:rsidRDefault="007D580C" w:rsidP="00E57E3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4E826D5" w14:textId="77777777" w:rsidR="00D055BE" w:rsidRPr="00E57E33" w:rsidRDefault="00D055BE" w:rsidP="00E57E33">
      <w:pPr>
        <w:rPr>
          <w:rFonts w:ascii="Arial" w:eastAsia="Times New Roman" w:hAnsi="Arial" w:cs="Arial"/>
          <w:sz w:val="22"/>
          <w:szCs w:val="22"/>
        </w:rPr>
      </w:pPr>
    </w:p>
    <w:sectPr w:rsidR="00D055BE" w:rsidRPr="00E57E33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1D"/>
    <w:rsid w:val="007D580C"/>
    <w:rsid w:val="009542D4"/>
    <w:rsid w:val="009E4306"/>
    <w:rsid w:val="00B25E1D"/>
    <w:rsid w:val="00D055BE"/>
    <w:rsid w:val="00E5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CE58E"/>
  <w15:chartTrackingRefBased/>
  <w15:docId w15:val="{7997BEBE-AC44-6B4C-BC10-61A6DE87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Pr>
      <w:rFonts w:ascii="Consolas" w:eastAsiaTheme="minorEastAsia" w:hAnsi="Consolas" w:cs="Consolas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titulo">
    <w:name w:val="titulo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uiPriority w:val="99"/>
    <w:semiHidden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estern">
    <w:name w:val="western"/>
    <w:basedOn w:val="Normal"/>
    <w:uiPriority w:val="99"/>
    <w:semiHidden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iso-8859-1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4789</Words>
  <Characters>25866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30594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Mediador - Extrato Acordo Coletivo </dc:title>
  <dc:subject/>
  <dc:creator>Joao Nelson C de la Torre</dc:creator>
  <cp:keywords/>
  <dc:description/>
  <cp:lastModifiedBy>Dandara</cp:lastModifiedBy>
  <cp:revision>3</cp:revision>
  <dcterms:created xsi:type="dcterms:W3CDTF">2023-10-03T15:54:00Z</dcterms:created>
  <dcterms:modified xsi:type="dcterms:W3CDTF">2023-10-04T17:34:00Z</dcterms:modified>
</cp:coreProperties>
</file>